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8" w:rsidRDefault="007A4648" w:rsidP="007A4648">
      <w:pPr>
        <w:pStyle w:val="Hlavika"/>
      </w:pPr>
      <w:bookmarkStart w:id="0" w:name="_GoBack"/>
      <w:bookmarkEnd w:id="0"/>
      <w:r w:rsidRPr="00D27F1F">
        <w:rPr>
          <w:noProof/>
          <w:lang w:eastAsia="sk-SK"/>
        </w:rPr>
        <w:drawing>
          <wp:inline distT="0" distB="0" distL="0" distR="0" wp14:anchorId="23C3902E" wp14:editId="207F0303">
            <wp:extent cx="6286500" cy="704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893D48" w:rsidTr="0057107A">
        <w:tc>
          <w:tcPr>
            <w:tcW w:w="9212" w:type="dxa"/>
            <w:vAlign w:val="center"/>
          </w:tcPr>
          <w:p w:rsidR="00A72EF8" w:rsidRPr="00893D48" w:rsidRDefault="009922DE" w:rsidP="0057107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  <w:iCs/>
                <w:color w:val="000000"/>
                <w:lang w:eastAsia="sk-SK"/>
              </w:rPr>
              <w:t>Vzdelanie = úspech v zamestnaní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93D48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893D48" w:rsidTr="00893D48">
        <w:tc>
          <w:tcPr>
            <w:tcW w:w="9212" w:type="dxa"/>
            <w:vAlign w:val="center"/>
          </w:tcPr>
          <w:p w:rsidR="00A72EF8" w:rsidRPr="00893D48" w:rsidRDefault="00473CF6" w:rsidP="0057107A">
            <w:pPr>
              <w:rPr>
                <w:rFonts w:ascii="Verdana" w:hAnsi="Verdana"/>
                <w:b/>
              </w:rPr>
            </w:pPr>
            <w:r w:rsidRPr="00893D48">
              <w:rPr>
                <w:rFonts w:ascii="Verdana" w:hAnsi="Verdana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93D48" w:rsidTr="0057107A">
        <w:tc>
          <w:tcPr>
            <w:tcW w:w="9212" w:type="dxa"/>
            <w:vAlign w:val="center"/>
          </w:tcPr>
          <w:p w:rsidR="00A72EF8" w:rsidRPr="00893D48" w:rsidRDefault="009922DE" w:rsidP="0057107A">
            <w:pPr>
              <w:rPr>
                <w:rFonts w:ascii="Verdana" w:hAnsi="Verdana"/>
                <w:highlight w:val="yellow"/>
              </w:rPr>
            </w:pPr>
            <w:r w:rsidRPr="006F5810">
              <w:rPr>
                <w:rFonts w:ascii="Verdana" w:hAnsi="Verdana"/>
              </w:rPr>
              <w:t>OPLZ-PO1/2016/DOP/1.4.1-01</w:t>
            </w:r>
            <w:r w:rsidRPr="00423AC4">
              <w:rPr>
                <w:rFonts w:ascii="Verdana" w:hAnsi="Verdana" w:cs="Calibri,Bold"/>
                <w:bCs/>
                <w:lang w:eastAsia="sk-SK"/>
              </w:rPr>
              <w:t xml:space="preserve">; </w:t>
            </w:r>
            <w:r w:rsidRPr="00423AC4">
              <w:rPr>
                <w:rFonts w:ascii="Verdana" w:hAnsi="Verdana" w:cs="Calibri"/>
                <w:lang w:eastAsia="sk-SK"/>
              </w:rPr>
              <w:t xml:space="preserve">Kód projektu v ITMS2014: </w:t>
            </w:r>
            <w:r w:rsidRPr="006F5810">
              <w:rPr>
                <w:rFonts w:ascii="Verdana" w:hAnsi="Verdana"/>
              </w:rPr>
              <w:t>312011F673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93D48" w:rsidTr="0057107A">
        <w:tc>
          <w:tcPr>
            <w:tcW w:w="9212" w:type="dxa"/>
            <w:vAlign w:val="center"/>
          </w:tcPr>
          <w:p w:rsidR="008C6E78" w:rsidRPr="00702877" w:rsidRDefault="008C6E78" w:rsidP="008C6E7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702877">
              <w:rPr>
                <w:rFonts w:ascii="Verdana" w:hAnsi="Verdana" w:cs="Calibri"/>
                <w:b/>
                <w:lang w:eastAsia="sk-SK"/>
              </w:rPr>
              <w:t xml:space="preserve">Prioritná os: </w:t>
            </w:r>
            <w:r w:rsidRPr="00702877">
              <w:rPr>
                <w:rFonts w:ascii="Verdana" w:hAnsi="Verdana"/>
              </w:rPr>
              <w:t xml:space="preserve">1. Vzdelávanie </w:t>
            </w:r>
          </w:p>
          <w:p w:rsidR="00612187" w:rsidRPr="00423AC4" w:rsidRDefault="00612187" w:rsidP="0061218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423AC4">
              <w:rPr>
                <w:rFonts w:ascii="Verdana" w:hAnsi="Verdana" w:cs="Calibri"/>
                <w:b/>
                <w:lang w:eastAsia="sk-SK"/>
              </w:rPr>
              <w:t>Investičná priorita:</w:t>
            </w:r>
            <w:r w:rsidRPr="00423A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23AC4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4</w:t>
            </w:r>
            <w:r w:rsidRPr="00423AC4">
              <w:rPr>
                <w:rFonts w:ascii="Verdana" w:hAnsi="Verdana"/>
              </w:rPr>
              <w:t xml:space="preserve"> </w:t>
            </w:r>
            <w:r w:rsidRPr="006F5810">
              <w:rPr>
                <w:rFonts w:ascii="Verdana" w:hAnsi="Verdana"/>
              </w:rPr>
              <w:t>Zlepšenie rovnakého prístupu k celoživotnému vzdelávaniu pre všetky vekové skupiny v rámci formálneho, neformálneho a bežného vzdelávania, zvyšovania vedomostí, zručností a spôsobilostí pracovnej sily a podpory flexibilných spôsobov vzdelávania prostredníctvom usmerňovania pri výbere povolania a potvrdzovania nadobudnutých kompetencií</w:t>
            </w:r>
            <w:r>
              <w:rPr>
                <w:rFonts w:ascii="Verdana" w:hAnsi="Verdana"/>
              </w:rPr>
              <w:t>.</w:t>
            </w:r>
          </w:p>
          <w:p w:rsidR="00A94A6B" w:rsidRPr="00612187" w:rsidRDefault="00612187" w:rsidP="0061218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lang w:eastAsia="sk-SK"/>
              </w:rPr>
            </w:pPr>
            <w:r w:rsidRPr="00423AC4">
              <w:rPr>
                <w:rFonts w:ascii="Verdana" w:hAnsi="Verdana" w:cs="Calibri"/>
                <w:b/>
                <w:lang w:eastAsia="sk-SK"/>
              </w:rPr>
              <w:t>Špecifický cieľ</w:t>
            </w:r>
            <w:r w:rsidRPr="00423AC4">
              <w:rPr>
                <w:rFonts w:ascii="Verdana" w:hAnsi="Verdana" w:cs="Calibri"/>
                <w:lang w:eastAsia="sk-SK"/>
              </w:rPr>
              <w:t xml:space="preserve">: </w:t>
            </w:r>
            <w:r w:rsidRPr="006F5810">
              <w:rPr>
                <w:rFonts w:ascii="Verdana" w:hAnsi="Verdana"/>
              </w:rPr>
              <w:t>1.4.1 Zvýšiť kvalitu a efektívnosť celoživotného vzdelávania s dôrazom na rozvoj kľúčových kompetencií, prehlbovanie a zvyšovanie kvalifikácie</w:t>
            </w:r>
            <w:r>
              <w:rPr>
                <w:rFonts w:ascii="Verdana" w:hAnsi="Verdana"/>
              </w:rPr>
              <w:t>.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93D48" w:rsidTr="0057107A">
        <w:tc>
          <w:tcPr>
            <w:tcW w:w="9212" w:type="dxa"/>
            <w:vAlign w:val="center"/>
          </w:tcPr>
          <w:p w:rsidR="00A72EF8" w:rsidRPr="00893D48" w:rsidRDefault="009922DE" w:rsidP="0057107A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423AC4">
              <w:rPr>
                <w:rFonts w:ascii="Verdana" w:hAnsi="Verdana" w:cs="Times New Roman"/>
                <w:sz w:val="20"/>
                <w:szCs w:val="20"/>
              </w:rPr>
              <w:t xml:space="preserve">Mesto </w:t>
            </w:r>
            <w:r>
              <w:rPr>
                <w:rFonts w:ascii="Verdana" w:hAnsi="Verdana" w:cs="Times New Roman"/>
                <w:sz w:val="20"/>
                <w:szCs w:val="20"/>
              </w:rPr>
              <w:t>Stropkov</w:t>
            </w:r>
            <w:r w:rsidRPr="00423AC4">
              <w:rPr>
                <w:rFonts w:ascii="Verdana" w:hAnsi="Verdana" w:cs="Times New Roman"/>
                <w:sz w:val="20"/>
                <w:szCs w:val="20"/>
              </w:rPr>
              <w:t xml:space="preserve">, okres </w:t>
            </w:r>
            <w:r>
              <w:rPr>
                <w:rFonts w:ascii="Verdana" w:hAnsi="Verdana" w:cs="Times New Roman"/>
                <w:sz w:val="20"/>
                <w:szCs w:val="20"/>
              </w:rPr>
              <w:t>Stropkov</w:t>
            </w:r>
            <w:r w:rsidRPr="00423AC4">
              <w:rPr>
                <w:rFonts w:ascii="Verdana" w:hAnsi="Verdana" w:cs="Times New Roman"/>
                <w:sz w:val="20"/>
                <w:szCs w:val="20"/>
              </w:rPr>
              <w:t>, Prešovský samosprávny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93D48" w:rsidTr="0057107A">
        <w:tc>
          <w:tcPr>
            <w:tcW w:w="9212" w:type="dxa"/>
            <w:vAlign w:val="center"/>
          </w:tcPr>
          <w:p w:rsidR="00A72EF8" w:rsidRPr="00893D48" w:rsidRDefault="009922DE" w:rsidP="009922D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sk-SK"/>
              </w:rPr>
            </w:pPr>
            <w:r w:rsidRPr="00423AC4">
              <w:rPr>
                <w:rFonts w:ascii="Verdana" w:hAnsi="Verdana"/>
                <w:color w:val="000000"/>
                <w:lang w:eastAsia="sk-SK"/>
              </w:rPr>
              <w:t>0</w:t>
            </w:r>
            <w:r>
              <w:rPr>
                <w:rFonts w:ascii="Verdana" w:hAnsi="Verdana"/>
                <w:color w:val="000000"/>
                <w:lang w:eastAsia="sk-SK"/>
              </w:rPr>
              <w:t>4</w:t>
            </w:r>
            <w:r w:rsidRPr="00423AC4">
              <w:rPr>
                <w:rFonts w:ascii="Verdana" w:hAnsi="Verdana"/>
                <w:color w:val="000000"/>
                <w:lang w:eastAsia="sk-SK"/>
              </w:rPr>
              <w:t>.0</w:t>
            </w:r>
            <w:r>
              <w:rPr>
                <w:rFonts w:ascii="Verdana" w:hAnsi="Verdana"/>
                <w:color w:val="000000"/>
                <w:lang w:eastAsia="sk-SK"/>
              </w:rPr>
              <w:t>6</w:t>
            </w:r>
            <w:r w:rsidRPr="00423AC4">
              <w:rPr>
                <w:rFonts w:ascii="Verdana" w:hAnsi="Verdana"/>
                <w:color w:val="000000"/>
                <w:lang w:eastAsia="sk-SK"/>
              </w:rPr>
              <w:t>.2018 – 3</w:t>
            </w:r>
            <w:r>
              <w:rPr>
                <w:rFonts w:ascii="Verdana" w:hAnsi="Verdana"/>
                <w:color w:val="000000"/>
                <w:lang w:eastAsia="sk-SK"/>
              </w:rPr>
              <w:t>0</w:t>
            </w:r>
            <w:r w:rsidRPr="00423AC4">
              <w:rPr>
                <w:rFonts w:ascii="Verdana" w:hAnsi="Verdana"/>
                <w:color w:val="000000"/>
                <w:lang w:eastAsia="sk-SK"/>
              </w:rPr>
              <w:t>.</w:t>
            </w:r>
            <w:r>
              <w:rPr>
                <w:rFonts w:ascii="Verdana" w:hAnsi="Verdana"/>
                <w:color w:val="000000"/>
                <w:lang w:eastAsia="sk-SK"/>
              </w:rPr>
              <w:t>11</w:t>
            </w:r>
            <w:r w:rsidRPr="00423AC4">
              <w:rPr>
                <w:rFonts w:ascii="Verdana" w:hAnsi="Verdana"/>
                <w:color w:val="000000"/>
                <w:lang w:eastAsia="sk-SK"/>
              </w:rPr>
              <w:t>.2020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93D48" w:rsidTr="00174A11">
        <w:tc>
          <w:tcPr>
            <w:tcW w:w="9212" w:type="dxa"/>
            <w:vAlign w:val="center"/>
          </w:tcPr>
          <w:p w:rsidR="009922DE" w:rsidRPr="005D4ECF" w:rsidRDefault="009922DE" w:rsidP="009922DE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5D4ECF">
              <w:rPr>
                <w:rFonts w:ascii="Verdana" w:hAnsi="Verdana"/>
                <w:sz w:val="20"/>
                <w:szCs w:val="20"/>
              </w:rPr>
              <w:t>Celkové náklady na projekt: 170 092,51 EUR</w:t>
            </w:r>
          </w:p>
          <w:p w:rsidR="00B5659A" w:rsidRPr="00893D48" w:rsidRDefault="009922DE" w:rsidP="009922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5D4ECF">
              <w:rPr>
                <w:rFonts w:ascii="Verdana" w:hAnsi="Verdana"/>
              </w:rPr>
              <w:t>Výška poskytnutého NFP: 161 587,88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9922DE" w:rsidRPr="003F2CAE" w:rsidRDefault="009922DE" w:rsidP="009922DE">
            <w:pPr>
              <w:rPr>
                <w:rFonts w:ascii="Verdana" w:hAnsi="Verdana"/>
              </w:rPr>
            </w:pPr>
            <w:r w:rsidRPr="003F2CAE">
              <w:rPr>
                <w:rFonts w:ascii="Verdana" w:hAnsi="Verdana"/>
              </w:rPr>
              <w:t>Prijímateľ: Stredná odborná škola</w:t>
            </w:r>
            <w:r>
              <w:rPr>
                <w:rFonts w:ascii="Verdana" w:hAnsi="Verdana"/>
              </w:rPr>
              <w:t xml:space="preserve"> služieb</w:t>
            </w:r>
            <w:r w:rsidRPr="003F2CAE">
              <w:rPr>
                <w:rFonts w:ascii="Verdana" w:hAnsi="Verdana"/>
              </w:rPr>
              <w:t>, Hlavná 6, 091 01 Stropkov</w:t>
            </w:r>
          </w:p>
          <w:p w:rsidR="009922DE" w:rsidRPr="00750F6A" w:rsidRDefault="009922DE" w:rsidP="009922DE">
            <w:pPr>
              <w:rPr>
                <w:rFonts w:ascii="Verdana" w:hAnsi="Verdana" w:cs="Tahoma"/>
                <w:bCs/>
              </w:rPr>
            </w:pPr>
            <w:r w:rsidRPr="00750F6A">
              <w:rPr>
                <w:rFonts w:ascii="Verdana" w:hAnsi="Verdana"/>
              </w:rPr>
              <w:t>Kontaktná osoba: Ing. Daniel Soóš</w:t>
            </w:r>
          </w:p>
          <w:p w:rsidR="009922DE" w:rsidRPr="00750F6A" w:rsidRDefault="009922DE" w:rsidP="009922DE">
            <w:pPr>
              <w:rPr>
                <w:rFonts w:ascii="Verdana" w:hAnsi="Verdana" w:cs="Tahoma"/>
                <w:bCs/>
              </w:rPr>
            </w:pPr>
            <w:r w:rsidRPr="00750F6A">
              <w:rPr>
                <w:rFonts w:ascii="Verdana" w:hAnsi="Verdana"/>
              </w:rPr>
              <w:t xml:space="preserve">Tel.: </w:t>
            </w:r>
            <w:r w:rsidRPr="00750F6A">
              <w:rPr>
                <w:rFonts w:ascii="Verdana" w:hAnsi="Verdana" w:cs="Arial"/>
                <w:bCs/>
                <w:shd w:val="clear" w:color="auto" w:fill="FFFFFF"/>
              </w:rPr>
              <w:t>054 7181500</w:t>
            </w:r>
          </w:p>
          <w:p w:rsidR="00C75506" w:rsidRPr="00750F6A" w:rsidRDefault="009922DE" w:rsidP="009922DE">
            <w:pPr>
              <w:rPr>
                <w:rFonts w:ascii="Verdana" w:hAnsi="Verdana"/>
              </w:rPr>
            </w:pPr>
            <w:r w:rsidRPr="00750F6A">
              <w:rPr>
                <w:rStyle w:val="Siln"/>
                <w:rFonts w:ascii="Verdana" w:hAnsi="Verdana"/>
                <w:b w:val="0"/>
                <w:shd w:val="clear" w:color="auto" w:fill="FFFFFF"/>
              </w:rPr>
              <w:t>E-mail: </w:t>
            </w:r>
            <w:r w:rsidR="00C75506" w:rsidRPr="00C75506">
              <w:rPr>
                <w:rFonts w:ascii="Arial" w:hAnsi="Arial" w:cs="Arial"/>
                <w:bCs/>
                <w:color w:val="2F2F2F"/>
                <w:shd w:val="clear" w:color="auto" w:fill="FFFFFF"/>
              </w:rPr>
              <w:t>soshlavnasp@sosstropkov.edu.sk</w:t>
            </w:r>
          </w:p>
          <w:p w:rsidR="00CE0860" w:rsidRPr="008175F2" w:rsidRDefault="009922DE" w:rsidP="009922DE">
            <w:pPr>
              <w:rPr>
                <w:rFonts w:ascii="Verdana" w:hAnsi="Verdana"/>
              </w:rPr>
            </w:pPr>
            <w:r w:rsidRPr="00750F6A">
              <w:rPr>
                <w:rFonts w:ascii="Verdana" w:hAnsi="Verdana"/>
              </w:rPr>
              <w:t>https://soshlavnasp.edupage.org/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F606BE" w:rsidRDefault="00C75506" w:rsidP="00F606BE">
            <w:pPr>
              <w:pStyle w:val="Odsekzoznamu"/>
              <w:spacing w:after="12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  <w:r w:rsidRPr="001534C6">
              <w:rPr>
                <w:rFonts w:ascii="Verdana" w:hAnsi="Verdana"/>
              </w:rPr>
              <w:t>výšiť kvalitu a efektívnosť celoživotného vzdelávania</w:t>
            </w:r>
            <w:r>
              <w:rPr>
                <w:rFonts w:ascii="Verdana" w:hAnsi="Verdana"/>
              </w:rPr>
              <w:t xml:space="preserve">, </w:t>
            </w:r>
            <w:r w:rsidRPr="001534C6">
              <w:rPr>
                <w:rFonts w:ascii="Verdana" w:hAnsi="Verdana"/>
              </w:rPr>
              <w:t>rozvoj kľúčových kompetencií,</w:t>
            </w:r>
            <w:r>
              <w:rPr>
                <w:rFonts w:ascii="Verdana" w:hAnsi="Verdana"/>
              </w:rPr>
              <w:t xml:space="preserve"> </w:t>
            </w:r>
            <w:r w:rsidRPr="001534C6">
              <w:rPr>
                <w:rFonts w:ascii="Verdana" w:hAnsi="Verdana"/>
              </w:rPr>
              <w:t>prehlbovanie a zvyšovanie kvalifikáci</w:t>
            </w:r>
            <w:r>
              <w:rPr>
                <w:rFonts w:ascii="Verdana" w:hAnsi="Verdana"/>
              </w:rPr>
              <w:t>e, rovnocenný prístup k celoživotnému vzdelávaniu, analýza vzdelávacích potrieb, tvorba a realizácia vzdelávacích programov, tvorba partnerstiev so zamestnávateľmi,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p w:rsidR="00B312A3" w:rsidRDefault="00B312A3" w:rsidP="00A72EF8">
      <w:pPr>
        <w:rPr>
          <w:rFonts w:ascii="Verdana" w:hAnsi="Verdana"/>
        </w:rPr>
      </w:pPr>
    </w:p>
    <w:p w:rsidR="00C75506" w:rsidRDefault="00C75506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B312A3" w:rsidRDefault="00B312A3" w:rsidP="00B312A3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  <w:r>
              <w:rPr>
                <w:rFonts w:ascii="Verdana" w:hAnsi="Verdana" w:cs="Calibri"/>
                <w:lang w:eastAsia="sk-SK"/>
              </w:rPr>
              <w:t>mladí ľudia vo veku do 25 rokov</w:t>
            </w:r>
          </w:p>
          <w:p w:rsidR="00B312A3" w:rsidRDefault="00B312A3" w:rsidP="00B312A3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  <w:r>
              <w:rPr>
                <w:rFonts w:ascii="Verdana" w:hAnsi="Verdana" w:cs="Calibri"/>
                <w:lang w:eastAsia="sk-SK"/>
              </w:rPr>
              <w:t>osoby zúčastnené na aktivitách v rámci celoživotného vzdelávania</w:t>
            </w:r>
          </w:p>
          <w:p w:rsidR="00B312A3" w:rsidRDefault="00B312A3" w:rsidP="00B312A3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  <w:r>
              <w:rPr>
                <w:rFonts w:ascii="Verdana" w:hAnsi="Verdana" w:cs="Calibri"/>
                <w:lang w:eastAsia="sk-SK"/>
              </w:rPr>
              <w:t>samostatne zárobkovo činné osoby</w:t>
            </w:r>
          </w:p>
          <w:p w:rsidR="00B312A3" w:rsidRDefault="00B312A3" w:rsidP="00B312A3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  <w:r>
              <w:rPr>
                <w:rFonts w:ascii="Verdana" w:hAnsi="Verdana" w:cs="Calibri"/>
                <w:lang w:eastAsia="sk-SK"/>
              </w:rPr>
              <w:t>starší ľudia v produktívnom veku</w:t>
            </w:r>
          </w:p>
          <w:p w:rsidR="00B576EF" w:rsidRPr="00B312A3" w:rsidRDefault="00B312A3" w:rsidP="00B312A3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  <w:r w:rsidRPr="00B312A3">
              <w:rPr>
                <w:rFonts w:ascii="Verdana" w:hAnsi="Verdana" w:cs="Calibri"/>
                <w:lang w:eastAsia="sk-SK"/>
              </w:rPr>
              <w:t xml:space="preserve">zamestnanci 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F606BE" w:rsidRDefault="00C75506" w:rsidP="00B312A3">
            <w:pPr>
              <w:spacing w:after="120"/>
              <w:jc w:val="both"/>
              <w:rPr>
                <w:rFonts w:ascii="Verdana" w:hAnsi="Verdana"/>
              </w:rPr>
            </w:pPr>
            <w:r w:rsidRPr="00423AC4">
              <w:rPr>
                <w:rFonts w:ascii="Verdana" w:hAnsi="Verdana"/>
              </w:rPr>
              <w:t xml:space="preserve">Cieľom predkladaného projektu je </w:t>
            </w:r>
            <w:r>
              <w:rPr>
                <w:rFonts w:ascii="Verdana" w:hAnsi="Verdana"/>
              </w:rPr>
              <w:t xml:space="preserve">zlepšenie rovnakého prístupu k celoživotnému vzdelávaniu a </w:t>
            </w:r>
            <w:r w:rsidRPr="006F6F75">
              <w:rPr>
                <w:rFonts w:ascii="Verdana" w:hAnsi="Verdana"/>
              </w:rPr>
              <w:t>zlepšenie pozícií cieľových skupín na regionálnom trhu práce z hľ</w:t>
            </w:r>
            <w:r>
              <w:rPr>
                <w:rFonts w:ascii="Verdana" w:hAnsi="Verdana"/>
              </w:rPr>
              <w:t>adiska posil</w:t>
            </w:r>
            <w:r w:rsidRPr="006F6F75">
              <w:rPr>
                <w:rFonts w:ascii="Verdana" w:hAnsi="Verdana"/>
              </w:rPr>
              <w:t>nenia ich kľúčových kompetencií v celoživotnom vzdelávaní</w:t>
            </w:r>
            <w:r>
              <w:rPr>
                <w:rFonts w:ascii="Verdana" w:hAnsi="Verdana"/>
              </w:rPr>
              <w:t xml:space="preserve"> s dôrazom na prehlbovanie a zvyšovanie kvalifikácie.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B56C6E" w:rsidRDefault="00F606BE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="00265F68" w:rsidRPr="00B56C6E">
              <w:rPr>
                <w:rFonts w:ascii="Verdana" w:hAnsi="Verdana"/>
                <w:b/>
                <w:i/>
              </w:rPr>
              <w:t>ktivity (max. 15 riadkov)</w:t>
            </w:r>
          </w:p>
        </w:tc>
      </w:tr>
      <w:tr w:rsidR="00B56C6E" w:rsidRPr="00C5077F" w:rsidTr="00843555">
        <w:tc>
          <w:tcPr>
            <w:tcW w:w="9212" w:type="dxa"/>
          </w:tcPr>
          <w:p w:rsidR="00C75506" w:rsidRDefault="00C75506" w:rsidP="00C7550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Analýza vzdelávacích potrieb</w:t>
            </w:r>
          </w:p>
          <w:p w:rsidR="00C75506" w:rsidRPr="00A846ED" w:rsidRDefault="00FD677D" w:rsidP="00C75506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V rámci tejto aktivity sa vykonala</w:t>
            </w:r>
            <w:r w:rsidR="00C75506" w:rsidRPr="00A846ED">
              <w:rPr>
                <w:rFonts w:ascii="Verdana" w:hAnsi="Verdana"/>
                <w:sz w:val="20"/>
                <w:szCs w:val="20"/>
              </w:rPr>
              <w:t xml:space="preserve"> analýza vzdelávacích potrieb trhu práce v cieľovom území. Uskutočnená "analýza" </w:t>
            </w:r>
            <w:r>
              <w:rPr>
                <w:rFonts w:ascii="Verdana" w:hAnsi="Verdana"/>
                <w:sz w:val="20"/>
                <w:szCs w:val="20"/>
              </w:rPr>
              <w:t>následne slúžila</w:t>
            </w:r>
            <w:r w:rsidR="00C75506" w:rsidRPr="00A846ED">
              <w:rPr>
                <w:rFonts w:ascii="Verdana" w:hAnsi="Verdana"/>
                <w:sz w:val="20"/>
                <w:szCs w:val="20"/>
              </w:rPr>
              <w:t xml:space="preserve"> na špecifikáciu vzdelávacích potrieb v </w:t>
            </w:r>
            <w:r>
              <w:rPr>
                <w:rFonts w:ascii="Verdana" w:hAnsi="Verdana"/>
                <w:sz w:val="20"/>
                <w:szCs w:val="20"/>
              </w:rPr>
              <w:t>jednotlivých</w:t>
            </w:r>
            <w:r w:rsidR="00C75506" w:rsidRPr="00A846ED">
              <w:rPr>
                <w:rFonts w:ascii="Verdana" w:hAnsi="Verdana"/>
                <w:sz w:val="20"/>
                <w:szCs w:val="20"/>
              </w:rPr>
              <w:t xml:space="preserve"> oblastiach vzdelávania , resp. na potvrdenie správneho výberu jednotlivých oblastí vzdelávania pre cieľové skupiny. </w:t>
            </w:r>
          </w:p>
          <w:p w:rsidR="00C75506" w:rsidRDefault="00C75506" w:rsidP="00C75506">
            <w:pPr>
              <w:jc w:val="both"/>
              <w:rPr>
                <w:rFonts w:ascii="Verdana" w:hAnsi="Verdana"/>
              </w:rPr>
            </w:pPr>
          </w:p>
          <w:p w:rsidR="00C75506" w:rsidRDefault="00C75506" w:rsidP="00C75506">
            <w:pPr>
              <w:jc w:val="both"/>
              <w:rPr>
                <w:rFonts w:ascii="Verdana" w:hAnsi="Verdana"/>
              </w:rPr>
            </w:pPr>
          </w:p>
          <w:p w:rsidR="00C75506" w:rsidRDefault="00C75506" w:rsidP="00C75506">
            <w:pPr>
              <w:jc w:val="both"/>
              <w:rPr>
                <w:rFonts w:ascii="Verdana" w:hAnsi="Verdana"/>
              </w:rPr>
            </w:pPr>
            <w:r w:rsidRPr="007565EC">
              <w:rPr>
                <w:rFonts w:ascii="Verdana" w:hAnsi="Verdana"/>
              </w:rPr>
              <w:t>2. Tvorba a re</w:t>
            </w:r>
            <w:r>
              <w:rPr>
                <w:rFonts w:ascii="Verdana" w:hAnsi="Verdana"/>
              </w:rPr>
              <w:t>alizácia vzdelávacích programov</w:t>
            </w:r>
            <w:r w:rsidRPr="007565EC">
              <w:rPr>
                <w:rFonts w:ascii="Verdana" w:hAnsi="Verdana"/>
              </w:rPr>
              <w:t xml:space="preserve"> </w:t>
            </w:r>
          </w:p>
          <w:p w:rsidR="00C75506" w:rsidRPr="006E1B26" w:rsidRDefault="00C75506" w:rsidP="00C75506">
            <w:pPr>
              <w:pStyle w:val="Default"/>
              <w:jc w:val="both"/>
              <w:rPr>
                <w:rFonts w:ascii="Verdana" w:hAnsi="Verdana"/>
              </w:rPr>
            </w:pPr>
            <w:r w:rsidRPr="006E1B26">
              <w:rPr>
                <w:rFonts w:ascii="Verdana" w:hAnsi="Verdana"/>
                <w:sz w:val="20"/>
                <w:szCs w:val="20"/>
              </w:rPr>
              <w:t xml:space="preserve">V rámci tejto aktivity sa získané analytické výstupy </w:t>
            </w:r>
            <w:r w:rsidR="00FD677D">
              <w:rPr>
                <w:rFonts w:ascii="Verdana" w:hAnsi="Verdana"/>
                <w:sz w:val="20"/>
                <w:szCs w:val="20"/>
              </w:rPr>
              <w:t>použili</w:t>
            </w:r>
            <w:r w:rsidRPr="006E1B26">
              <w:rPr>
                <w:rFonts w:ascii="Verdana" w:hAnsi="Verdana"/>
                <w:sz w:val="20"/>
                <w:szCs w:val="20"/>
              </w:rPr>
              <w:t xml:space="preserve"> na vypracovanie komplexného vzdelávacieho programu s ohľadom na rozvoj kľúčových kompetencií pre celoživotné vzdelávanie s následnou rea</w:t>
            </w:r>
            <w:r w:rsidR="00FD677D">
              <w:rPr>
                <w:rFonts w:ascii="Verdana" w:hAnsi="Verdana"/>
                <w:sz w:val="20"/>
                <w:szCs w:val="20"/>
              </w:rPr>
              <w:t xml:space="preserve">lizáciou vzdelávacích programov pre účastníkov cieľových skupín. </w:t>
            </w:r>
          </w:p>
          <w:p w:rsidR="00C75506" w:rsidRDefault="00C75506" w:rsidP="00C75506">
            <w:pPr>
              <w:jc w:val="both"/>
              <w:rPr>
                <w:rFonts w:ascii="Verdana" w:hAnsi="Verdana"/>
              </w:rPr>
            </w:pPr>
          </w:p>
          <w:p w:rsidR="00C75506" w:rsidRDefault="00C75506" w:rsidP="00C75506">
            <w:pPr>
              <w:jc w:val="both"/>
              <w:rPr>
                <w:rFonts w:ascii="Verdana" w:hAnsi="Verdana"/>
              </w:rPr>
            </w:pPr>
          </w:p>
          <w:p w:rsidR="00C75506" w:rsidRDefault="00C75506" w:rsidP="00C75506">
            <w:pPr>
              <w:jc w:val="both"/>
              <w:rPr>
                <w:rFonts w:ascii="Verdana" w:hAnsi="Verdana"/>
              </w:rPr>
            </w:pPr>
            <w:r w:rsidRPr="007565EC">
              <w:rPr>
                <w:rFonts w:ascii="Verdana" w:hAnsi="Verdana"/>
              </w:rPr>
              <w:t xml:space="preserve">3. Tvorba </w:t>
            </w:r>
            <w:r>
              <w:rPr>
                <w:rFonts w:ascii="Verdana" w:hAnsi="Verdana"/>
              </w:rPr>
              <w:t>partnerstiev so zamestnávateľmi</w:t>
            </w:r>
          </w:p>
          <w:p w:rsidR="00C75506" w:rsidRPr="006E1B26" w:rsidRDefault="00C75506" w:rsidP="00C75506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V rámci</w:t>
            </w:r>
            <w:r w:rsidRPr="006E1B26">
              <w:rPr>
                <w:rFonts w:ascii="Verdana" w:hAnsi="Verdana"/>
                <w:sz w:val="20"/>
                <w:szCs w:val="20"/>
              </w:rPr>
              <w:t xml:space="preserve"> tejto aktivity </w:t>
            </w:r>
            <w:r w:rsidR="00FD677D">
              <w:rPr>
                <w:rFonts w:ascii="Verdana" w:hAnsi="Verdana"/>
                <w:sz w:val="20"/>
                <w:szCs w:val="20"/>
              </w:rPr>
              <w:t>sa uskutočnila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1B26">
              <w:rPr>
                <w:rFonts w:ascii="Verdana" w:hAnsi="Verdana"/>
                <w:sz w:val="20"/>
                <w:szCs w:val="20"/>
              </w:rPr>
              <w:t>tvorba partnerstiev so zamestnávateľmi na cieľ</w:t>
            </w:r>
            <w:r w:rsidR="00FD677D">
              <w:rPr>
                <w:rFonts w:ascii="Verdana" w:hAnsi="Verdana"/>
                <w:sz w:val="20"/>
                <w:szCs w:val="20"/>
              </w:rPr>
              <w:t>ovom území s ohľadom zabezpečenia spätnej väzby</w:t>
            </w:r>
            <w:r w:rsidRPr="006E1B26">
              <w:rPr>
                <w:rFonts w:ascii="Verdana" w:hAnsi="Verdana"/>
                <w:sz w:val="20"/>
                <w:szCs w:val="20"/>
              </w:rPr>
              <w:t xml:space="preserve"> od zamestnávateľov, čím sa podporí aj lepšia efektivita vzdelávania pre cieľové skupiny projektu. </w:t>
            </w:r>
          </w:p>
          <w:p w:rsidR="00B312A3" w:rsidRPr="00C8502E" w:rsidRDefault="00B312A3" w:rsidP="00B312A3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6C6E" w:rsidRPr="00C75506" w:rsidRDefault="00B312A3" w:rsidP="00B312A3">
            <w:pPr>
              <w:jc w:val="both"/>
              <w:rPr>
                <w:rFonts w:ascii="Verdana" w:hAnsi="Verdana"/>
              </w:rPr>
            </w:pPr>
            <w:r w:rsidRPr="00C75506">
              <w:rPr>
                <w:rFonts w:ascii="Verdana" w:hAnsi="Verdana"/>
              </w:rPr>
              <w:t xml:space="preserve">4. Koordinácia projektu  </w:t>
            </w:r>
          </w:p>
          <w:p w:rsidR="00B312A3" w:rsidRPr="00B312A3" w:rsidRDefault="00B312A3" w:rsidP="00B312A3">
            <w:pPr>
              <w:jc w:val="both"/>
              <w:rPr>
                <w:rFonts w:ascii="Verdana" w:hAnsi="Verdana"/>
                <w:b/>
                <w:i/>
              </w:rPr>
            </w:pPr>
            <w:r w:rsidRPr="00B312A3">
              <w:rPr>
                <w:rFonts w:ascii="Verdana" w:hAnsi="Verdana"/>
              </w:rPr>
              <w:t xml:space="preserve">V rámci </w:t>
            </w:r>
            <w:r>
              <w:rPr>
                <w:rFonts w:ascii="Verdana" w:hAnsi="Verdana"/>
              </w:rPr>
              <w:t xml:space="preserve">koordinácie projektu vytvorený projektový tím zabezpečoval v súlade so Zmluvou o poskytnutí NFP, implementáciu projektu v zmysle vecného, časového a finančného harmonogramu. </w:t>
            </w:r>
          </w:p>
        </w:tc>
      </w:tr>
      <w:tr w:rsidR="00A72EF8" w:rsidRPr="00C5077F" w:rsidTr="00843555">
        <w:tc>
          <w:tcPr>
            <w:tcW w:w="9212" w:type="dxa"/>
          </w:tcPr>
          <w:p w:rsidR="00FA4D6D" w:rsidRPr="00B56C6E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="00B56C6E"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="00B56C6E"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="00B56C6E"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Default="00290242" w:rsidP="00B576EF">
            <w:pPr>
              <w:jc w:val="both"/>
              <w:rPr>
                <w:rFonts w:ascii="Verdana" w:hAnsi="Verdana"/>
                <w:lang w:eastAsia="sk-SK"/>
              </w:rPr>
            </w:pPr>
            <w:r w:rsidRPr="00290242">
              <w:rPr>
                <w:rFonts w:ascii="Verdana" w:hAnsi="Verdana"/>
                <w:lang w:eastAsia="sk-SK"/>
              </w:rPr>
              <w:t xml:space="preserve">Merateľné ukazovatele projektu: </w:t>
            </w:r>
          </w:p>
          <w:p w:rsidR="00A15131" w:rsidRPr="00E84F66" w:rsidRDefault="00E84F66" w:rsidP="00E84F66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Verdana" w:hAnsi="Verdana"/>
              </w:rPr>
            </w:pPr>
            <w:r w:rsidRPr="00E84F66">
              <w:rPr>
                <w:rFonts w:ascii="Verdana" w:hAnsi="Verdana"/>
              </w:rPr>
              <w:t>Počet partnerstiev medzi poskytovateľmi CŽV, zamestnávateľmi, organizáciami pracujúcimi so znevýhodnenými skupinami osôb: počet 2</w:t>
            </w:r>
          </w:p>
          <w:p w:rsidR="00E84F66" w:rsidRPr="00E84F66" w:rsidRDefault="00E84F66" w:rsidP="00E84F66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Verdana" w:hAnsi="Verdana"/>
              </w:rPr>
            </w:pPr>
            <w:r w:rsidRPr="00E84F66">
              <w:rPr>
                <w:rFonts w:ascii="Verdana" w:hAnsi="Verdana"/>
              </w:rPr>
              <w:t>Počet partnerstiev medzi poskytovateľmi CŽV, zamestnávateľmi, organizáciami pracujúcimi so znevýhodnenými skupinami osôb fungujúcich 18 mesiacov po ukončení projektu: počet 3</w:t>
            </w:r>
          </w:p>
          <w:p w:rsidR="00E84F66" w:rsidRPr="00E84F66" w:rsidRDefault="00E84F66" w:rsidP="00E84F66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Verdana" w:hAnsi="Verdana"/>
              </w:rPr>
            </w:pPr>
            <w:r w:rsidRPr="00E84F66">
              <w:rPr>
                <w:rFonts w:ascii="Verdana" w:hAnsi="Verdana"/>
              </w:rPr>
              <w:t xml:space="preserve">Počet účastníkov CŽV, ktorí v čase odchodu získali alebo si zvýšili kvalifikáciu: počet </w:t>
            </w:r>
            <w:r w:rsidR="00CA3DF5">
              <w:rPr>
                <w:rFonts w:ascii="Verdana" w:hAnsi="Verdana"/>
              </w:rPr>
              <w:t>1</w:t>
            </w:r>
            <w:r w:rsidRPr="00E84F66">
              <w:rPr>
                <w:rFonts w:ascii="Verdana" w:hAnsi="Verdana"/>
              </w:rPr>
              <w:t>30</w:t>
            </w:r>
          </w:p>
          <w:p w:rsidR="00E84F66" w:rsidRPr="00E84F66" w:rsidRDefault="00E84F66" w:rsidP="00E84F66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Verdana" w:hAnsi="Verdana"/>
              </w:rPr>
            </w:pPr>
            <w:r w:rsidRPr="00E84F66">
              <w:rPr>
                <w:rFonts w:ascii="Verdana" w:hAnsi="Verdana"/>
              </w:rPr>
              <w:t>Počet účastníkov s nízkym vzdelaním/nízkou kvalifikáciou za</w:t>
            </w:r>
            <w:r w:rsidR="00CA3DF5">
              <w:rPr>
                <w:rFonts w:ascii="Verdana" w:hAnsi="Verdana"/>
              </w:rPr>
              <w:t>pojených do aktivít CŽV: počet 48</w:t>
            </w:r>
          </w:p>
          <w:p w:rsidR="00E84F66" w:rsidRPr="00E84F66" w:rsidRDefault="00E84F66" w:rsidP="00E84F66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Verdana" w:hAnsi="Verdana"/>
              </w:rPr>
            </w:pPr>
            <w:r w:rsidRPr="00E84F66">
              <w:rPr>
                <w:rFonts w:ascii="Verdana" w:hAnsi="Verdana"/>
              </w:rPr>
              <w:t xml:space="preserve">Počet účastníkov s nízkym vzdelaním/nízkou kvalifikáciou zapojených do aktivít CŽV, ktorí v čase odchodu získali alebo si zvýšili kvalifikáciu: počet </w:t>
            </w:r>
            <w:r w:rsidR="00CA3DF5">
              <w:rPr>
                <w:rFonts w:ascii="Verdana" w:hAnsi="Verdana"/>
              </w:rPr>
              <w:t>21</w:t>
            </w:r>
          </w:p>
          <w:p w:rsidR="00E84F66" w:rsidRPr="00E84F66" w:rsidRDefault="00E84F66" w:rsidP="00E84F66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Verdana" w:hAnsi="Verdana"/>
              </w:rPr>
            </w:pPr>
            <w:r w:rsidRPr="00E84F66">
              <w:rPr>
                <w:rFonts w:ascii="Verdana" w:hAnsi="Verdana"/>
              </w:rPr>
              <w:t xml:space="preserve">Počet účastníkov zapojených do aktivít CŽV: počet </w:t>
            </w:r>
            <w:r w:rsidR="00CA3DF5">
              <w:rPr>
                <w:rFonts w:ascii="Verdana" w:hAnsi="Verdana"/>
              </w:rPr>
              <w:t>220</w:t>
            </w:r>
          </w:p>
          <w:p w:rsidR="000E3A9D" w:rsidRDefault="000E3A9D" w:rsidP="00B576EF">
            <w:pPr>
              <w:jc w:val="both"/>
            </w:pPr>
          </w:p>
          <w:p w:rsidR="00695C50" w:rsidRPr="00695C50" w:rsidRDefault="00A15131" w:rsidP="000E3A9D">
            <w:pPr>
              <w:jc w:val="both"/>
              <w:rPr>
                <w:rFonts w:ascii="Verdana" w:hAnsi="Verdana"/>
              </w:rPr>
            </w:pPr>
            <w:r w:rsidRPr="00695C50">
              <w:rPr>
                <w:rFonts w:ascii="Verdana" w:hAnsi="Verdana"/>
              </w:rPr>
              <w:t xml:space="preserve">Výsledkom projektu je </w:t>
            </w:r>
            <w:r w:rsidR="000E3A9D" w:rsidRPr="00695C50">
              <w:rPr>
                <w:rFonts w:ascii="Verdana" w:hAnsi="Verdana"/>
              </w:rPr>
              <w:t xml:space="preserve">zvýšiť </w:t>
            </w:r>
            <w:r w:rsidR="00695C50" w:rsidRPr="00695C50">
              <w:rPr>
                <w:rFonts w:ascii="Verdana" w:hAnsi="Verdana"/>
              </w:rPr>
              <w:t xml:space="preserve">kvalitu a efektívnosť celoživotného vzdelávania s dôrazom na rozvoj kľúčových kompetencií, prehlbovanie a zvyšovanie kvalifikácie. Zároveň výsledkom je zlepšovanie rovnocenného prístupu k celoživotnému vzdelávaniu pre </w:t>
            </w:r>
            <w:r w:rsidR="00695C50" w:rsidRPr="00695C50">
              <w:rPr>
                <w:rFonts w:ascii="Verdana" w:hAnsi="Verdana"/>
              </w:rPr>
              <w:lastRenderedPageBreak/>
              <w:t xml:space="preserve">cieľové skupiny projektu. </w:t>
            </w:r>
          </w:p>
          <w:p w:rsidR="000E3A9D" w:rsidRPr="00B56C6E" w:rsidRDefault="000E3A9D" w:rsidP="000E3A9D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lastRenderedPageBreak/>
              <w:t>Nadväznosť (trvalá/následná udržateľnosť výsledkov projektu)</w:t>
            </w:r>
          </w:p>
        </w:tc>
      </w:tr>
      <w:tr w:rsidR="00B56C6E" w:rsidRPr="00C5077F" w:rsidTr="00843555">
        <w:tc>
          <w:tcPr>
            <w:tcW w:w="9212" w:type="dxa"/>
          </w:tcPr>
          <w:p w:rsidR="000815AD" w:rsidRDefault="000815AD" w:rsidP="005C4A06">
            <w:pPr>
              <w:jc w:val="both"/>
              <w:rPr>
                <w:rFonts w:ascii="Verdana" w:hAnsi="Verdana"/>
                <w:bCs/>
                <w:color w:val="000000"/>
                <w:shd w:val="clear" w:color="auto" w:fill="FFFFFF"/>
              </w:rPr>
            </w:pPr>
            <w:r w:rsidRPr="000815AD">
              <w:rPr>
                <w:rFonts w:ascii="Verdana" w:hAnsi="Verdana"/>
                <w:bCs/>
                <w:color w:val="000000"/>
                <w:shd w:val="clear" w:color="auto" w:fill="FFFFFF"/>
              </w:rPr>
              <w:t>Frekventanti úspešne absolvujúci vzdelávací program nadobudnú významný kvalifikačný potenciál umožňujúci im úspešn</w:t>
            </w:r>
            <w:r>
              <w:rPr>
                <w:rFonts w:ascii="Verdana" w:hAnsi="Verdana"/>
                <w:bCs/>
                <w:color w:val="000000"/>
                <w:shd w:val="clear" w:color="auto" w:fill="FFFFFF"/>
              </w:rPr>
              <w:t>é</w:t>
            </w:r>
            <w:r w:rsidRPr="000815AD">
              <w:rPr>
                <w:rFonts w:ascii="Verdana" w:hAnsi="Verdana"/>
                <w:bCs/>
                <w:color w:val="000000"/>
                <w:shd w:val="clear" w:color="auto" w:fill="FFFFFF"/>
              </w:rPr>
              <w:t xml:space="preserve"> pôsobenie na miestnom respektíve regionálnom trhu práce.</w:t>
            </w:r>
            <w:r>
              <w:rPr>
                <w:rFonts w:ascii="Verdana" w:hAnsi="Verdana"/>
                <w:bCs/>
                <w:color w:val="000000"/>
                <w:shd w:val="clear" w:color="auto" w:fill="FFFFFF"/>
              </w:rPr>
              <w:t xml:space="preserve"> Prijímateľ naďalej bude podporovať celoživotné vzdelávanie a pokračovať v aktivitách zameraných na zlepšovanie rovnocenného prístupu k celoživotnému vzdelávaniu. Vzdelávacie aktivity budú zamerané na rozvoj kľúčových kompetencií s cieľom prehlbovania a zvyšovania kvalifikácie. Podpora celoživotného vzdelávania a udržateľnosť výsledkov bude podporovaná uplatňovaním výstupov analýzy vzdelávacích potrieb trhu práce a vypracovaného vzdelávacieho programu. K udržateľnosti budú prispievať tiež uzatvorené partnerstvá medzi poskytovateľom celoživotného vzdelávania (prijímateľom) a zamestnávateľmi, či organizáciami pracujúcimi so znevýhodnenými skupinami osôb. </w:t>
            </w:r>
          </w:p>
          <w:p w:rsidR="000274AA" w:rsidRPr="000274AA" w:rsidRDefault="00E56B11" w:rsidP="005C4A0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Fakultatívne položky: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5549F7" w:rsidTr="00843555">
        <w:tc>
          <w:tcPr>
            <w:tcW w:w="9212" w:type="dxa"/>
          </w:tcPr>
          <w:p w:rsidR="00B56C6E" w:rsidRDefault="005549F7" w:rsidP="00B576EF">
            <w:pPr>
              <w:jc w:val="both"/>
              <w:rPr>
                <w:rFonts w:ascii="Verdana" w:hAnsi="Verdana"/>
                <w:lang w:eastAsia="sk-SK"/>
              </w:rPr>
            </w:pPr>
            <w:r w:rsidRPr="005549F7">
              <w:rPr>
                <w:rFonts w:ascii="Verdana" w:hAnsi="Verdana"/>
                <w:lang w:eastAsia="sk-SK"/>
              </w:rPr>
              <w:t xml:space="preserve">Počas implementácie projektu </w:t>
            </w:r>
            <w:r w:rsidR="00146989">
              <w:rPr>
                <w:rFonts w:ascii="Verdana" w:hAnsi="Verdana"/>
                <w:lang w:eastAsia="sk-SK"/>
              </w:rPr>
              <w:t xml:space="preserve">došlo </w:t>
            </w:r>
            <w:r w:rsidR="00FD677D">
              <w:rPr>
                <w:rFonts w:ascii="Verdana" w:hAnsi="Verdana"/>
                <w:lang w:eastAsia="sk-SK"/>
              </w:rPr>
              <w:t>1</w:t>
            </w:r>
            <w:r w:rsidR="004C57D0">
              <w:rPr>
                <w:rFonts w:ascii="Verdana" w:hAnsi="Verdana"/>
                <w:lang w:eastAsia="sk-SK"/>
              </w:rPr>
              <w:t xml:space="preserve">x </w:t>
            </w:r>
            <w:r w:rsidR="00146989">
              <w:rPr>
                <w:rFonts w:ascii="Verdana" w:hAnsi="Verdana"/>
                <w:lang w:eastAsia="sk-SK"/>
              </w:rPr>
              <w:t>k predĺženiu r</w:t>
            </w:r>
            <w:r w:rsidR="00FD677D">
              <w:rPr>
                <w:rFonts w:ascii="Verdana" w:hAnsi="Verdana"/>
                <w:lang w:eastAsia="sk-SK"/>
              </w:rPr>
              <w:t>ealizácie časového harmonogramu a to z dôvodu</w:t>
            </w:r>
            <w:r w:rsidR="004C57D0">
              <w:rPr>
                <w:rFonts w:ascii="Verdana" w:hAnsi="Verdana"/>
                <w:lang w:eastAsia="sk-SK"/>
              </w:rPr>
              <w:t xml:space="preserve">  mimoriadnej situácie v súvislosti s pandémiou </w:t>
            </w:r>
            <w:proofErr w:type="spellStart"/>
            <w:r w:rsidR="004C57D0">
              <w:rPr>
                <w:rFonts w:ascii="Verdana" w:hAnsi="Verdana"/>
                <w:lang w:eastAsia="sk-SK"/>
              </w:rPr>
              <w:t>koronavírusu</w:t>
            </w:r>
            <w:proofErr w:type="spellEnd"/>
            <w:r w:rsidR="004C57D0">
              <w:rPr>
                <w:rFonts w:ascii="Verdana" w:hAnsi="Verdana"/>
                <w:lang w:eastAsia="sk-SK"/>
              </w:rPr>
              <w:t xml:space="preserve"> COVID-19 a tým nevyhnutno</w:t>
            </w:r>
            <w:r w:rsidR="00FD677D">
              <w:rPr>
                <w:rFonts w:ascii="Verdana" w:hAnsi="Verdana"/>
                <w:lang w:eastAsia="sk-SK"/>
              </w:rPr>
              <w:t xml:space="preserve">sť predĺžiť časový harmonogram pre zrealizovanie vzdelávacích programov. </w:t>
            </w:r>
          </w:p>
          <w:p w:rsidR="00A15131" w:rsidRPr="005549F7" w:rsidRDefault="00A15131" w:rsidP="00B576EF">
            <w:pPr>
              <w:jc w:val="both"/>
              <w:rPr>
                <w:rFonts w:ascii="Verdana" w:hAnsi="Verdana"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C5077F" w:rsidTr="00843555">
        <w:tc>
          <w:tcPr>
            <w:tcW w:w="9212" w:type="dxa"/>
          </w:tcPr>
          <w:p w:rsidR="002D4DE2" w:rsidRDefault="002D4DE2" w:rsidP="00B576E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 </w:t>
            </w:r>
            <w:r w:rsidRPr="00695C50">
              <w:rPr>
                <w:rFonts w:ascii="Verdana" w:hAnsi="Verdana"/>
              </w:rPr>
              <w:t>rozvoj kľúčových kompetencií, prehlbovanie a zvyšovanie kvalifikácie</w:t>
            </w:r>
            <w:r>
              <w:rPr>
                <w:rFonts w:ascii="Verdana" w:hAnsi="Verdana"/>
              </w:rPr>
              <w:t xml:space="preserve"> je nevyhnutné zabezpečiť rovnaký prí</w:t>
            </w:r>
            <w:r w:rsidR="00FD677D">
              <w:rPr>
                <w:rFonts w:ascii="Verdana" w:hAnsi="Verdana"/>
              </w:rPr>
              <w:t>stup k celoživotnému vzdelávaniu</w:t>
            </w:r>
            <w:r>
              <w:rPr>
                <w:rFonts w:ascii="Verdana" w:hAnsi="Verdana"/>
              </w:rPr>
              <w:t xml:space="preserve"> pre všetkých, čím sa zároveň zlepšia pozície účastníkov celoživotného vzdelávania na regionálnom trhu práce. Aby celoživotné vzdelávanie bolo účinné, je potrebné zabezpečiť previazanosť vzdelávania s potrebami trhu práce a</w:t>
            </w:r>
            <w:r w:rsidR="00FD677D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vytvárať</w:t>
            </w:r>
            <w:r w:rsidR="00FD677D">
              <w:rPr>
                <w:rFonts w:ascii="Verdana" w:hAnsi="Verdana"/>
              </w:rPr>
              <w:t xml:space="preserve"> a budovať</w:t>
            </w:r>
            <w:r>
              <w:rPr>
                <w:rFonts w:ascii="Verdana" w:hAnsi="Verdana"/>
              </w:rPr>
              <w:t xml:space="preserve"> partnerstvá medzi poskytovateľmi vzdelávania a zamestnávateľmi. </w:t>
            </w:r>
          </w:p>
          <w:p w:rsidR="00B56C6E" w:rsidRPr="0011230A" w:rsidRDefault="00B56C6E" w:rsidP="002D4DE2">
            <w:pPr>
              <w:jc w:val="both"/>
              <w:rPr>
                <w:rFonts w:ascii="Verdana" w:hAnsi="Verdana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F606BE" w:rsidRPr="00F606BE" w:rsidRDefault="00F606BE" w:rsidP="004C57D0">
            <w:pPr>
              <w:spacing w:before="120" w:after="120"/>
              <w:jc w:val="both"/>
              <w:rPr>
                <w:rFonts w:ascii="Verdana" w:hAnsi="Verdana"/>
                <w:sz w:val="23"/>
                <w:szCs w:val="23"/>
              </w:rPr>
            </w:pPr>
            <w:r w:rsidRPr="00F606BE">
              <w:rPr>
                <w:rFonts w:ascii="Verdana" w:hAnsi="Verdana"/>
              </w:rPr>
              <w:t xml:space="preserve">V rámci realizácie projektu neboli plánované špeciálne publikácie zamerané na šírenie výsledkov projektu. Prijímateľ NFP zabezpečil šírenie výsledkov projektu prostredníctvom vlastného webového sídla </w:t>
            </w:r>
            <w:r w:rsidR="00FD677D" w:rsidRPr="00FD677D">
              <w:rPr>
                <w:rStyle w:val="Hypertextovprepojenie"/>
                <w:rFonts w:ascii="Verdana" w:hAnsi="Verdana"/>
              </w:rPr>
              <w:t>https://soshlavnasp.edupage.org/</w:t>
            </w:r>
            <w:r w:rsidRPr="00F606BE">
              <w:rPr>
                <w:rFonts w:ascii="Verdana" w:hAnsi="Verdana"/>
              </w:rPr>
              <w:t xml:space="preserve"> (zverejňovanie informácií), v mieste realizácie projektu bol umiestnený informačný plagát projektu. Informovanosť a komunikácia prebiehala v súlade s platným Manuálom pre informovanie a komunikáciu pre prijímateľov v rámci EŠIF (2014 – 2020) Operačný program Ľudské zdroje.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3D" w:rsidRDefault="00F60F3D">
      <w:r>
        <w:separator/>
      </w:r>
    </w:p>
  </w:endnote>
  <w:endnote w:type="continuationSeparator" w:id="0">
    <w:p w:rsidR="00F60F3D" w:rsidRDefault="00F6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3D" w:rsidRDefault="00F60F3D">
      <w:r>
        <w:separator/>
      </w:r>
    </w:p>
  </w:footnote>
  <w:footnote w:type="continuationSeparator" w:id="0">
    <w:p w:rsidR="00F60F3D" w:rsidRDefault="00F6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BD6C1B" w:rsidRDefault="00BD6C1B">
    <w:pPr>
      <w:pStyle w:val="Hlavika"/>
      <w:rPr>
        <w:sz w:val="16"/>
        <w:szCs w:val="16"/>
      </w:rPr>
    </w:pPr>
    <w:r>
      <w:rPr>
        <w:rFonts w:ascii="Verdana" w:hAnsi="Verdana" w:cs="Bookman Old Style"/>
        <w:bCs/>
        <w:sz w:val="16"/>
        <w:szCs w:val="16"/>
      </w:rPr>
      <w:t xml:space="preserve">         </w:t>
    </w:r>
    <w:r w:rsidR="007A4648">
      <w:rPr>
        <w:rFonts w:ascii="Verdana" w:hAnsi="Verdana" w:cs="Bookman Old Style"/>
        <w:bCs/>
        <w:sz w:val="16"/>
        <w:szCs w:val="16"/>
      </w:rPr>
      <w:t xml:space="preserve">                   </w:t>
    </w:r>
    <w:r>
      <w:rPr>
        <w:rFonts w:ascii="Verdana" w:hAnsi="Verdana" w:cs="Bookman Old Style"/>
        <w:bCs/>
        <w:sz w:val="16"/>
        <w:szCs w:val="16"/>
      </w:rPr>
      <w:t xml:space="preserve"> </w:t>
    </w:r>
    <w:r w:rsidRPr="00BD6C1B">
      <w:rPr>
        <w:rFonts w:ascii="Verdana" w:hAnsi="Verdana" w:cs="Bookman Old Style"/>
        <w:bCs/>
        <w:sz w:val="16"/>
        <w:szCs w:val="16"/>
      </w:rPr>
      <w:t>Príloha č. 2 Manuálu pre informovanie a komunikáciu pre prijímateľov v rámci EŠIF</w:t>
    </w:r>
    <w:r w:rsidR="007A4648">
      <w:rPr>
        <w:rFonts w:ascii="Verdana" w:hAnsi="Verdana" w:cs="Bookman Old Style"/>
        <w:bCs/>
        <w:sz w:val="16"/>
        <w:szCs w:val="16"/>
      </w:rPr>
      <w:t xml:space="preserve"> – OP ĽZ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0D7"/>
    <w:multiLevelType w:val="hybridMultilevel"/>
    <w:tmpl w:val="BEC06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28B6"/>
    <w:multiLevelType w:val="hybridMultilevel"/>
    <w:tmpl w:val="08E4783A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E32337C"/>
    <w:multiLevelType w:val="hybridMultilevel"/>
    <w:tmpl w:val="3F309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204FE"/>
    <w:multiLevelType w:val="hybridMultilevel"/>
    <w:tmpl w:val="8AECE06A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691630C2"/>
    <w:multiLevelType w:val="hybridMultilevel"/>
    <w:tmpl w:val="6B948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9"/>
  </w:num>
  <w:num w:numId="5">
    <w:abstractNumId w:val="34"/>
  </w:num>
  <w:num w:numId="6">
    <w:abstractNumId w:val="30"/>
  </w:num>
  <w:num w:numId="7">
    <w:abstractNumId w:val="21"/>
  </w:num>
  <w:num w:numId="8">
    <w:abstractNumId w:val="8"/>
  </w:num>
  <w:num w:numId="9">
    <w:abstractNumId w:val="11"/>
  </w:num>
  <w:num w:numId="10">
    <w:abstractNumId w:val="15"/>
  </w:num>
  <w:num w:numId="11">
    <w:abstractNumId w:val="35"/>
  </w:num>
  <w:num w:numId="12">
    <w:abstractNumId w:val="32"/>
  </w:num>
  <w:num w:numId="13">
    <w:abstractNumId w:val="5"/>
  </w:num>
  <w:num w:numId="14">
    <w:abstractNumId w:val="33"/>
  </w:num>
  <w:num w:numId="15">
    <w:abstractNumId w:val="17"/>
  </w:num>
  <w:num w:numId="16">
    <w:abstractNumId w:val="12"/>
  </w:num>
  <w:num w:numId="17">
    <w:abstractNumId w:val="4"/>
  </w:num>
  <w:num w:numId="18">
    <w:abstractNumId w:val="22"/>
  </w:num>
  <w:num w:numId="19">
    <w:abstractNumId w:val="7"/>
  </w:num>
  <w:num w:numId="20">
    <w:abstractNumId w:val="27"/>
  </w:num>
  <w:num w:numId="21">
    <w:abstractNumId w:val="20"/>
  </w:num>
  <w:num w:numId="22">
    <w:abstractNumId w:val="28"/>
  </w:num>
  <w:num w:numId="23">
    <w:abstractNumId w:val="6"/>
  </w:num>
  <w:num w:numId="24">
    <w:abstractNumId w:val="14"/>
  </w:num>
  <w:num w:numId="25">
    <w:abstractNumId w:val="10"/>
  </w:num>
  <w:num w:numId="26">
    <w:abstractNumId w:val="2"/>
  </w:num>
  <w:num w:numId="27">
    <w:abstractNumId w:val="13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6"/>
  </w:num>
  <w:num w:numId="32">
    <w:abstractNumId w:val="19"/>
  </w:num>
  <w:num w:numId="33">
    <w:abstractNumId w:val="23"/>
  </w:num>
  <w:num w:numId="34">
    <w:abstractNumId w:val="3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274AA"/>
    <w:rsid w:val="00037E3F"/>
    <w:rsid w:val="000463CC"/>
    <w:rsid w:val="00046F44"/>
    <w:rsid w:val="000518CA"/>
    <w:rsid w:val="00056E82"/>
    <w:rsid w:val="000815AD"/>
    <w:rsid w:val="00090568"/>
    <w:rsid w:val="00091ADC"/>
    <w:rsid w:val="000962CF"/>
    <w:rsid w:val="000B3E63"/>
    <w:rsid w:val="000C603E"/>
    <w:rsid w:val="000C61E7"/>
    <w:rsid w:val="000D3582"/>
    <w:rsid w:val="000E3A9D"/>
    <w:rsid w:val="000E3D55"/>
    <w:rsid w:val="000E3EEF"/>
    <w:rsid w:val="0011230A"/>
    <w:rsid w:val="001226DA"/>
    <w:rsid w:val="00125FB1"/>
    <w:rsid w:val="00131914"/>
    <w:rsid w:val="00131EA3"/>
    <w:rsid w:val="00146989"/>
    <w:rsid w:val="001546BC"/>
    <w:rsid w:val="0015725F"/>
    <w:rsid w:val="00166B6A"/>
    <w:rsid w:val="001724F0"/>
    <w:rsid w:val="001730D2"/>
    <w:rsid w:val="00174A11"/>
    <w:rsid w:val="00187C25"/>
    <w:rsid w:val="00191130"/>
    <w:rsid w:val="00195CE6"/>
    <w:rsid w:val="001979DB"/>
    <w:rsid w:val="001A6B2D"/>
    <w:rsid w:val="001B62F6"/>
    <w:rsid w:val="001C3157"/>
    <w:rsid w:val="001C3303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14949"/>
    <w:rsid w:val="002430B6"/>
    <w:rsid w:val="002474BC"/>
    <w:rsid w:val="00265F68"/>
    <w:rsid w:val="00276722"/>
    <w:rsid w:val="0028589E"/>
    <w:rsid w:val="00290242"/>
    <w:rsid w:val="002C4080"/>
    <w:rsid w:val="002D4DE2"/>
    <w:rsid w:val="002E4A14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103E"/>
    <w:rsid w:val="00473CF6"/>
    <w:rsid w:val="0047689B"/>
    <w:rsid w:val="00482C6D"/>
    <w:rsid w:val="00485E7E"/>
    <w:rsid w:val="004C57D0"/>
    <w:rsid w:val="004C6CD9"/>
    <w:rsid w:val="004D7BA7"/>
    <w:rsid w:val="004E306F"/>
    <w:rsid w:val="00515D42"/>
    <w:rsid w:val="005549F7"/>
    <w:rsid w:val="00562675"/>
    <w:rsid w:val="0057107A"/>
    <w:rsid w:val="00575A73"/>
    <w:rsid w:val="00583F49"/>
    <w:rsid w:val="005951FB"/>
    <w:rsid w:val="00597102"/>
    <w:rsid w:val="005B2BEA"/>
    <w:rsid w:val="005C36AC"/>
    <w:rsid w:val="005C4A06"/>
    <w:rsid w:val="005E1C19"/>
    <w:rsid w:val="005E1CC1"/>
    <w:rsid w:val="005E29A7"/>
    <w:rsid w:val="00612187"/>
    <w:rsid w:val="0062102D"/>
    <w:rsid w:val="006255C8"/>
    <w:rsid w:val="00637A8E"/>
    <w:rsid w:val="00667808"/>
    <w:rsid w:val="00670DE5"/>
    <w:rsid w:val="00692688"/>
    <w:rsid w:val="0069434C"/>
    <w:rsid w:val="00695C50"/>
    <w:rsid w:val="006A0B03"/>
    <w:rsid w:val="006A0EB5"/>
    <w:rsid w:val="006B763A"/>
    <w:rsid w:val="006D0971"/>
    <w:rsid w:val="006D0F97"/>
    <w:rsid w:val="006D287E"/>
    <w:rsid w:val="006D3B83"/>
    <w:rsid w:val="006D4B83"/>
    <w:rsid w:val="006F3B8E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4648"/>
    <w:rsid w:val="007A76D8"/>
    <w:rsid w:val="007C2616"/>
    <w:rsid w:val="007D1317"/>
    <w:rsid w:val="007E3546"/>
    <w:rsid w:val="007F030D"/>
    <w:rsid w:val="00800725"/>
    <w:rsid w:val="008079BA"/>
    <w:rsid w:val="008157E8"/>
    <w:rsid w:val="008160CF"/>
    <w:rsid w:val="00824623"/>
    <w:rsid w:val="008247D2"/>
    <w:rsid w:val="00843555"/>
    <w:rsid w:val="00893D48"/>
    <w:rsid w:val="0089479E"/>
    <w:rsid w:val="00894EE3"/>
    <w:rsid w:val="00896E30"/>
    <w:rsid w:val="008B13FB"/>
    <w:rsid w:val="008C6E78"/>
    <w:rsid w:val="008E3D4A"/>
    <w:rsid w:val="008F7629"/>
    <w:rsid w:val="00913B88"/>
    <w:rsid w:val="009327E0"/>
    <w:rsid w:val="0093329B"/>
    <w:rsid w:val="009441B9"/>
    <w:rsid w:val="00982A63"/>
    <w:rsid w:val="00983F19"/>
    <w:rsid w:val="00990D40"/>
    <w:rsid w:val="009922DE"/>
    <w:rsid w:val="0099420A"/>
    <w:rsid w:val="009A5261"/>
    <w:rsid w:val="009B4A90"/>
    <w:rsid w:val="009C1C55"/>
    <w:rsid w:val="009C5AE2"/>
    <w:rsid w:val="009E28D3"/>
    <w:rsid w:val="009E30FD"/>
    <w:rsid w:val="009F774F"/>
    <w:rsid w:val="00A01BF5"/>
    <w:rsid w:val="00A15131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B23C82"/>
    <w:rsid w:val="00B312A3"/>
    <w:rsid w:val="00B372CA"/>
    <w:rsid w:val="00B5659A"/>
    <w:rsid w:val="00B56C6E"/>
    <w:rsid w:val="00B576EF"/>
    <w:rsid w:val="00B61A58"/>
    <w:rsid w:val="00B74EA6"/>
    <w:rsid w:val="00B82821"/>
    <w:rsid w:val="00BA0FCA"/>
    <w:rsid w:val="00BA7D29"/>
    <w:rsid w:val="00BB4785"/>
    <w:rsid w:val="00BD081B"/>
    <w:rsid w:val="00BD15A8"/>
    <w:rsid w:val="00BD4A8B"/>
    <w:rsid w:val="00BD6C1B"/>
    <w:rsid w:val="00C0714F"/>
    <w:rsid w:val="00C231C7"/>
    <w:rsid w:val="00C26EB5"/>
    <w:rsid w:val="00C414A1"/>
    <w:rsid w:val="00C45C76"/>
    <w:rsid w:val="00C52723"/>
    <w:rsid w:val="00C52793"/>
    <w:rsid w:val="00C75506"/>
    <w:rsid w:val="00C80EDE"/>
    <w:rsid w:val="00C8594A"/>
    <w:rsid w:val="00C90426"/>
    <w:rsid w:val="00C93B00"/>
    <w:rsid w:val="00C93D91"/>
    <w:rsid w:val="00CA3DF5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178"/>
    <w:rsid w:val="00D81969"/>
    <w:rsid w:val="00D90CBD"/>
    <w:rsid w:val="00D93D6A"/>
    <w:rsid w:val="00D96120"/>
    <w:rsid w:val="00DB1018"/>
    <w:rsid w:val="00DB3157"/>
    <w:rsid w:val="00DF359B"/>
    <w:rsid w:val="00E011B2"/>
    <w:rsid w:val="00E01808"/>
    <w:rsid w:val="00E02EC8"/>
    <w:rsid w:val="00E331FC"/>
    <w:rsid w:val="00E40C0A"/>
    <w:rsid w:val="00E5507B"/>
    <w:rsid w:val="00E554C8"/>
    <w:rsid w:val="00E55B7B"/>
    <w:rsid w:val="00E56B11"/>
    <w:rsid w:val="00E731EE"/>
    <w:rsid w:val="00E75D57"/>
    <w:rsid w:val="00E84F66"/>
    <w:rsid w:val="00E9381E"/>
    <w:rsid w:val="00E95434"/>
    <w:rsid w:val="00EA6630"/>
    <w:rsid w:val="00EB2FC2"/>
    <w:rsid w:val="00EB4E4F"/>
    <w:rsid w:val="00EC4D7A"/>
    <w:rsid w:val="00ED6884"/>
    <w:rsid w:val="00EF7E3E"/>
    <w:rsid w:val="00F53A6B"/>
    <w:rsid w:val="00F55EEA"/>
    <w:rsid w:val="00F57F9C"/>
    <w:rsid w:val="00F606BE"/>
    <w:rsid w:val="00F60943"/>
    <w:rsid w:val="00F60F3D"/>
    <w:rsid w:val="00F74728"/>
    <w:rsid w:val="00F77CB7"/>
    <w:rsid w:val="00F85E39"/>
    <w:rsid w:val="00FA4D6D"/>
    <w:rsid w:val="00FC7475"/>
    <w:rsid w:val="00FD3804"/>
    <w:rsid w:val="00FD5257"/>
    <w:rsid w:val="00FD64EC"/>
    <w:rsid w:val="00FD677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30"/>
    <w:rPr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FC74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C747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104CA2C6A1944A53A5E7590F9EAD5" ma:contentTypeVersion="0" ma:contentTypeDescription="Umožňuje vytvoriť nový dokument." ma:contentTypeScope="" ma:versionID="59bca993ceb1ed815f301f3465de8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EF73-67A8-4963-9F4D-9F2C8F458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FB9F1-135C-476A-8F43-50A82F2D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3CBC4-0118-49AA-BE80-CE1E3D913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AB608-A16D-4443-8D33-2DC07190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7197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Comfor</cp:lastModifiedBy>
  <cp:revision>2</cp:revision>
  <cp:lastPrinted>2016-02-24T15:02:00Z</cp:lastPrinted>
  <dcterms:created xsi:type="dcterms:W3CDTF">2021-06-16T09:58:00Z</dcterms:created>
  <dcterms:modified xsi:type="dcterms:W3CDTF">2021-06-16T09:58:00Z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0x010100F81104CA2C6A1944A53A5E7590F9EAD5</vt:lpwstr>
  </property>
</Properties>
</file>